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4.png" ContentType="image/png"/>
  <Override PartName="/word/media/rId114.png" ContentType="image/png"/>
  <Override PartName="/word/media/rId10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pStyle w:val="FirstParagraph"/>
      </w:pPr>
      <w:r>
        <w:t xml:space="preserve">Variable thermal environments are expected to result in strong selection pressures that lead to adaptation or the evolution of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Applying new effect sizes that allow us to make use of powerful meta-analytic models we: 1) re-evaluate the degree to which aquatic and terrestrial ectotherms are capable of physiological plasticity; 2) test whether the opportunity for selection on physiological traits changes as temperatures rise, by applying new effect sizes that capture changes in physiological trait variance,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CanESM2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1.21,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4.2.3) using</w:t>
      </w:r>
      <w:r>
        <w:t xml:space="preserve"> </w:t>
      </w:r>
      <w:r>
        <w:rPr>
          <w:iCs/>
          <w:i/>
        </w:rPr>
        <w:t xml:space="preserve">brms</w:t>
      </w:r>
      <w:r>
        <w:t xml:space="preserve"> </w:t>
      </w:r>
      <w:r>
        <w:t xml:space="preserve">(vers. 2.17.0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4.2.0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3.0.12,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3.4.1,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5.6.2, Paradis &amp; Schliep 2019)</w:t>
      </w:r>
      <w:r>
        <w:t xml:space="preserve"> </w:t>
      </w:r>
      <w:r>
        <w:t xml:space="preserve">and</w:t>
      </w:r>
      <w:r>
        <w:t xml:space="preserve"> </w:t>
      </w:r>
      <w:r>
        <w:rPr>
          <w:iCs/>
          <w:i/>
        </w:rPr>
        <w:t xml:space="preserve">phytools</w:t>
      </w:r>
      <w:r>
        <w:t xml:space="preserve"> </w:t>
      </w:r>
      <w:r>
        <w:t xml:space="preserve">(vers. 1.0.3,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 p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97.87%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0.57% change in variance for freshwater systems (95% CI: -5.99 to 6.71%), whereas we expect a 2.86% reduction in variance for marine systems (95% CI: -6.32 to 1.26%) and a 12.22% reduction in variance for terrestrial systems (95% CI: -19.44 to -6.18%)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3" w:name="references"/>
    <w:p>
      <w:pPr>
        <w:pStyle w:val="Heading2"/>
      </w:pPr>
      <w:r>
        <w:t xml:space="preserve">References</w:t>
      </w:r>
    </w:p>
    <w:p>
      <w:pPr>
        <w:pStyle w:val="FirstParagraph"/>
      </w:pPr>
    </w:p>
    <w:bookmarkStart w:id="102"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0"/>
    <w:bookmarkStart w:id="101"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1"/>
    <w:bookmarkEnd w:id="102"/>
    <w:p>
      <w:pPr>
        <w:pStyle w:val="BodyText"/>
      </w:pPr>
    </w:p>
    <w:bookmarkEnd w:id="103"/>
    <w:bookmarkStart w:id="119" w:name="supplemental-results-and-figures"/>
    <w:p>
      <w:pPr>
        <w:pStyle w:val="Heading2"/>
      </w:pPr>
      <w:r>
        <w:t xml:space="preserve">Supplemental Results and Figures</w:t>
      </w:r>
    </w:p>
    <w:bookmarkStart w:id="108"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7" w:name="fig-s1"/>
          <w:p>
            <w:pPr>
              <w:pStyle w:val="Figure"/>
              <w:jc w:val="center"/>
            </w:pPr>
            <w:r>
              <w:drawing>
                <wp:inline>
                  <wp:extent cx="6680200" cy="4647095"/>
                  <wp:effectExtent b="0" l="0" r="0" t="0"/>
                  <wp:docPr descr="" title="" id="105" name="Picture"/>
                  <a:graphic>
                    <a:graphicData uri="http://schemas.openxmlformats.org/drawingml/2006/picture">
                      <pic:pic>
                        <pic:nvPicPr>
                          <pic:cNvPr descr="ms_files/figure-docx/fig-s1-1.png" id="106" name="Picture"/>
                          <pic:cNvPicPr>
                            <a:picLocks noChangeArrowheads="1" noChangeAspect="1"/>
                          </pic:cNvPicPr>
                        </pic:nvPicPr>
                        <pic:blipFill>
                          <a:blip r:embed="rId104"/>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7"/>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3fdeff8f-5127-40fa-b829-0e52c6523bfb" w:name="tbl-s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fdeff8f-5127-40fa-b829-0e52c6523bfb"/>
      <w:r>
        <w:rPr>
          <w:rFonts/>
          <w:b w:val="true"/>
        </w:rPr>
        <w:t xml:space="preserve">: </w:t>
      </w:r>
      <w:r>
        <w:t xml:space="preserve">Model estimates, standard error, and 95% credible intervals comparing changes in acute and acclimation $lnVR_{Q_{10}}$ across habitat types. Models estimates are based off 1253 effect sizes from 139 studies.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8"/>
    <w:bookmarkStart w:id="113"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2" w:name="fig-s3"/>
          <w:p>
            <w:pPr>
              <w:pStyle w:val="Figure"/>
              <w:jc w:val="center"/>
            </w:pPr>
            <w:r>
              <w:drawing>
                <wp:inline>
                  <wp:extent cx="6680200" cy="2379821"/>
                  <wp:effectExtent b="0" l="0" r="0" t="0"/>
                  <wp:docPr descr="" title="" id="110" name="Picture"/>
                  <a:graphic>
                    <a:graphicData uri="http://schemas.openxmlformats.org/drawingml/2006/picture">
                      <pic:pic>
                        <pic:nvPicPr>
                          <pic:cNvPr descr="ms_files/figure-docx/fig-s3-1.png" id="111" name="Picture"/>
                          <pic:cNvPicPr>
                            <a:picLocks noChangeArrowheads="1" noChangeAspect="1"/>
                          </pic:cNvPicPr>
                        </pic:nvPicPr>
                        <pic:blipFill>
                          <a:blip r:embed="rId109"/>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2"/>
        </w:tc>
      </w:tr>
    </w:tbl>
    <w:bookmarkEnd w:id="113"/>
    <w:bookmarkStart w:id="118"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7" w:name="fig-s2"/>
          <w:p>
            <w:pPr>
              <w:pStyle w:val="Figure"/>
              <w:jc w:val="center"/>
            </w:pPr>
            <w:r>
              <w:drawing>
                <wp:inline>
                  <wp:extent cx="6680200" cy="2788257"/>
                  <wp:effectExtent b="0" l="0" r="0" t="0"/>
                  <wp:docPr descr="" title="" id="115" name="Picture"/>
                  <a:graphic>
                    <a:graphicData uri="http://schemas.openxmlformats.org/drawingml/2006/picture">
                      <pic:pic>
                        <pic:nvPicPr>
                          <pic:cNvPr descr="ms_files/figure-docx/fig-s2-1.png" id="116" name="Picture"/>
                          <pic:cNvPicPr>
                            <a:picLocks noChangeArrowheads="1" noChangeAspect="1"/>
                          </pic:cNvPicPr>
                        </pic:nvPicPr>
                        <pic:blipFill>
                          <a:blip r:embed="rId114"/>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7"/>
        </w:tc>
      </w:tr>
    </w:tbl>
    <w:bookmarkEnd w:id="118"/>
    <w:bookmarkEnd w:id="119"/>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09" Target="media/rId1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2023-06-06T03:55:58Z</dcterms:created>
  <dcterms:modified xsi:type="dcterms:W3CDTF">2023-06-06T03:55:58Z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